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B4B" w:rsidRPr="007843F5" w:rsidRDefault="00270B4B" w:rsidP="009B6FD0">
      <w:pPr>
        <w:tabs>
          <w:tab w:val="left" w:pos="990"/>
        </w:tabs>
        <w:spacing w:before="100" w:beforeAutospacing="1" w:after="100" w:afterAutospacing="1" w:line="240" w:lineRule="auto"/>
        <w:jc w:val="center"/>
        <w:outlineLvl w:val="0"/>
        <w:rPr>
          <w:rFonts w:eastAsia="Times New Roman" w:cs="Times New Roman"/>
          <w:b/>
          <w:bCs/>
          <w:kern w:val="36"/>
          <w:sz w:val="24"/>
          <w:szCs w:val="24"/>
          <w:u w:val="single"/>
        </w:rPr>
      </w:pPr>
      <w:r w:rsidRPr="007843F5">
        <w:rPr>
          <w:rFonts w:eastAsia="Times New Roman" w:cs="Times New Roman"/>
          <w:b/>
          <w:bCs/>
          <w:kern w:val="36"/>
          <w:sz w:val="24"/>
          <w:szCs w:val="24"/>
          <w:u w:val="single"/>
        </w:rPr>
        <w:t>ICD10 Codes Took Effect October 1, 2015</w:t>
      </w:r>
    </w:p>
    <w:p w:rsidR="00270B4B" w:rsidRPr="007843F5" w:rsidRDefault="00270B4B" w:rsidP="00270B4B">
      <w:pPr>
        <w:tabs>
          <w:tab w:val="left" w:pos="990"/>
        </w:tabs>
        <w:spacing w:before="100" w:beforeAutospacing="1" w:after="100" w:afterAutospacing="1" w:line="240" w:lineRule="auto"/>
        <w:rPr>
          <w:rFonts w:eastAsia="Times New Roman" w:cs="Times New Roman"/>
          <w:sz w:val="24"/>
          <w:szCs w:val="24"/>
        </w:rPr>
      </w:pPr>
      <w:r w:rsidRPr="007843F5">
        <w:rPr>
          <w:rFonts w:eastAsia="Times New Roman" w:cs="Times New Roman"/>
          <w:sz w:val="24"/>
          <w:szCs w:val="24"/>
        </w:rPr>
        <w:t>The Centers for Medicare and Medicaid Services’ (CMS) International Classification of Disease (ICD)-10 code sets include significant im</w:t>
      </w:r>
      <w:bookmarkStart w:id="0" w:name="_GoBack"/>
      <w:bookmarkEnd w:id="0"/>
      <w:r w:rsidRPr="007843F5">
        <w:rPr>
          <w:rFonts w:eastAsia="Times New Roman" w:cs="Times New Roman"/>
          <w:sz w:val="24"/>
          <w:szCs w:val="24"/>
        </w:rPr>
        <w:t>provements over ICD-9 in coding primary care encounters, external causes of injury, mental disorders, and preventive health. The ICD-10 code sets will be required for reimbursement for osteoporosis diagnosis and treatment activities.</w:t>
      </w:r>
    </w:p>
    <w:p w:rsidR="00270B4B" w:rsidRPr="007843F5" w:rsidRDefault="00270B4B" w:rsidP="00270B4B">
      <w:pPr>
        <w:tabs>
          <w:tab w:val="left" w:pos="990"/>
        </w:tabs>
        <w:spacing w:before="100" w:beforeAutospacing="1" w:after="100" w:afterAutospacing="1" w:line="240" w:lineRule="auto"/>
        <w:rPr>
          <w:rFonts w:eastAsia="Times New Roman" w:cs="Times New Roman"/>
          <w:sz w:val="24"/>
          <w:szCs w:val="24"/>
        </w:rPr>
      </w:pPr>
      <w:r w:rsidRPr="007843F5">
        <w:rPr>
          <w:rFonts w:eastAsia="Times New Roman" w:cs="Times New Roman"/>
          <w:sz w:val="24"/>
          <w:szCs w:val="24"/>
        </w:rPr>
        <w:t>The ICD-10-CM/PCS replaced ICD-9-CM/PCS diagnosis and procedure codes in all health care settings for dates of service, or dates of discharge for inpatients, that occur on or after the October 1, 2015 implementation date of ICD-10.</w:t>
      </w:r>
    </w:p>
    <w:p w:rsidR="00270B4B" w:rsidRPr="007843F5" w:rsidRDefault="00270B4B" w:rsidP="00270B4B">
      <w:pPr>
        <w:tabs>
          <w:tab w:val="left" w:pos="990"/>
        </w:tabs>
        <w:spacing w:before="100" w:beforeAutospacing="1" w:after="100" w:afterAutospacing="1" w:line="240" w:lineRule="auto"/>
        <w:outlineLvl w:val="2"/>
        <w:rPr>
          <w:rFonts w:eastAsia="Times New Roman" w:cs="Times New Roman"/>
          <w:b/>
          <w:bCs/>
          <w:sz w:val="24"/>
          <w:szCs w:val="24"/>
        </w:rPr>
      </w:pPr>
      <w:r w:rsidRPr="007843F5">
        <w:rPr>
          <w:rFonts w:eastAsia="Times New Roman" w:cs="Times New Roman"/>
          <w:b/>
          <w:bCs/>
          <w:sz w:val="24"/>
          <w:szCs w:val="24"/>
        </w:rPr>
        <w:t>Follow the links below to access helpful information on the ICD-10 Code Sets:</w:t>
      </w:r>
    </w:p>
    <w:p w:rsidR="00270B4B" w:rsidRPr="007843F5" w:rsidRDefault="009B6FD0" w:rsidP="00270B4B">
      <w:pPr>
        <w:tabs>
          <w:tab w:val="left" w:pos="990"/>
        </w:tabs>
        <w:spacing w:before="100" w:beforeAutospacing="1" w:after="100" w:afterAutospacing="1" w:line="240" w:lineRule="auto"/>
        <w:rPr>
          <w:rFonts w:eastAsia="Times New Roman" w:cs="Times New Roman"/>
          <w:sz w:val="24"/>
          <w:szCs w:val="24"/>
        </w:rPr>
      </w:pPr>
      <w:hyperlink r:id="rId7" w:history="1">
        <w:r w:rsidR="00270B4B" w:rsidRPr="007843F5">
          <w:rPr>
            <w:rFonts w:eastAsia="Times New Roman" w:cs="Times New Roman"/>
            <w:b/>
            <w:bCs/>
            <w:color w:val="0000FF"/>
            <w:sz w:val="24"/>
            <w:szCs w:val="24"/>
            <w:u w:val="single"/>
          </w:rPr>
          <w:t>ICD-10 Quick Start Guide</w:t>
        </w:r>
      </w:hyperlink>
    </w:p>
    <w:p w:rsidR="00270B4B" w:rsidRPr="007843F5" w:rsidRDefault="009B6FD0" w:rsidP="00270B4B">
      <w:pPr>
        <w:tabs>
          <w:tab w:val="left" w:pos="990"/>
        </w:tabs>
        <w:spacing w:before="100" w:beforeAutospacing="1" w:after="100" w:afterAutospacing="1" w:line="240" w:lineRule="auto"/>
        <w:rPr>
          <w:rFonts w:eastAsia="Times New Roman" w:cs="Times New Roman"/>
          <w:sz w:val="24"/>
          <w:szCs w:val="24"/>
        </w:rPr>
      </w:pPr>
      <w:hyperlink r:id="rId8" w:history="1">
        <w:r w:rsidR="00270B4B" w:rsidRPr="007843F5">
          <w:rPr>
            <w:rFonts w:eastAsia="Times New Roman" w:cs="Times New Roman"/>
            <w:b/>
            <w:bCs/>
            <w:color w:val="0000FF"/>
            <w:sz w:val="24"/>
            <w:szCs w:val="24"/>
            <w:u w:val="single"/>
          </w:rPr>
          <w:t>CMS Countdown to ICD-10 Website</w:t>
        </w:r>
      </w:hyperlink>
      <w:r w:rsidR="00270B4B" w:rsidRPr="007843F5">
        <w:rPr>
          <w:rFonts w:eastAsia="Times New Roman" w:cs="Times New Roman"/>
          <w:sz w:val="24"/>
          <w:szCs w:val="24"/>
        </w:rPr>
        <w:br/>
      </w:r>
      <w:r w:rsidR="00270B4B" w:rsidRPr="007843F5">
        <w:rPr>
          <w:rFonts w:eastAsia="Times New Roman" w:cs="Times New Roman"/>
          <w:sz w:val="24"/>
          <w:szCs w:val="24"/>
        </w:rPr>
        <w:br/>
      </w:r>
      <w:hyperlink r:id="rId9" w:history="1">
        <w:r w:rsidR="00270B4B" w:rsidRPr="007843F5">
          <w:rPr>
            <w:rFonts w:eastAsia="Times New Roman" w:cs="Times New Roman"/>
            <w:b/>
            <w:bCs/>
            <w:color w:val="0000FF"/>
            <w:sz w:val="24"/>
            <w:szCs w:val="24"/>
            <w:u w:val="single"/>
          </w:rPr>
          <w:t>NBHA Webinar: ICD-10 Coding for Osteoporosis and Post-Fracture Care</w:t>
        </w:r>
      </w:hyperlink>
    </w:p>
    <w:p w:rsidR="00270B4B" w:rsidRPr="007843F5" w:rsidRDefault="009B6FD0" w:rsidP="00270B4B">
      <w:pPr>
        <w:tabs>
          <w:tab w:val="left" w:pos="990"/>
        </w:tabs>
        <w:spacing w:before="100" w:beforeAutospacing="1" w:after="100" w:afterAutospacing="1" w:line="240" w:lineRule="auto"/>
        <w:rPr>
          <w:rFonts w:eastAsia="Times New Roman" w:cs="Times New Roman"/>
          <w:sz w:val="24"/>
          <w:szCs w:val="24"/>
        </w:rPr>
      </w:pPr>
      <w:hyperlink r:id="rId10" w:history="1">
        <w:r w:rsidR="00270B4B" w:rsidRPr="007843F5">
          <w:rPr>
            <w:rFonts w:eastAsia="Times New Roman" w:cs="Times New Roman"/>
            <w:b/>
            <w:bCs/>
            <w:color w:val="0000FF"/>
            <w:sz w:val="24"/>
            <w:szCs w:val="24"/>
            <w:u w:val="single"/>
          </w:rPr>
          <w:t>NBHA Webinar: How Transitioning to the ICD-10 Coding System will Impact Your Osteoporosis Practice</w:t>
        </w:r>
      </w:hyperlink>
      <w:r w:rsidR="00270B4B" w:rsidRPr="007843F5">
        <w:rPr>
          <w:rFonts w:eastAsia="Times New Roman" w:cs="Times New Roman"/>
          <w:b/>
          <w:bCs/>
          <w:sz w:val="24"/>
          <w:szCs w:val="24"/>
        </w:rPr>
        <w:br/>
      </w:r>
      <w:r w:rsidR="00270B4B" w:rsidRPr="007843F5">
        <w:rPr>
          <w:rFonts w:eastAsia="Times New Roman" w:cs="Times New Roman"/>
          <w:b/>
          <w:bCs/>
          <w:sz w:val="24"/>
          <w:szCs w:val="24"/>
        </w:rPr>
        <w:br/>
      </w:r>
      <w:hyperlink r:id="rId11" w:history="1">
        <w:r w:rsidR="00270B4B" w:rsidRPr="007843F5">
          <w:rPr>
            <w:rFonts w:eastAsia="Times New Roman" w:cs="Times New Roman"/>
            <w:b/>
            <w:bCs/>
            <w:color w:val="0000FF"/>
            <w:sz w:val="24"/>
            <w:szCs w:val="24"/>
            <w:u w:val="single"/>
          </w:rPr>
          <w:t>ICD-10 Coding for Osteoporosis and Fractures</w:t>
        </w:r>
        <w:r w:rsidR="00270B4B" w:rsidRPr="007843F5">
          <w:rPr>
            <w:rFonts w:eastAsia="Times New Roman" w:cs="Times New Roman"/>
            <w:b/>
            <w:bCs/>
            <w:color w:val="0000FF"/>
            <w:sz w:val="24"/>
            <w:szCs w:val="24"/>
            <w:u w:val="single"/>
          </w:rPr>
          <w:br/>
        </w:r>
      </w:hyperlink>
      <w:r w:rsidR="00270B4B" w:rsidRPr="007843F5">
        <w:rPr>
          <w:rFonts w:eastAsia="Times New Roman" w:cs="Times New Roman"/>
          <w:b/>
          <w:bCs/>
          <w:sz w:val="24"/>
          <w:szCs w:val="24"/>
        </w:rPr>
        <w:br/>
      </w:r>
      <w:hyperlink r:id="rId12" w:history="1">
        <w:r w:rsidR="00270B4B" w:rsidRPr="007843F5">
          <w:rPr>
            <w:rFonts w:eastAsia="Times New Roman" w:cs="Times New Roman"/>
            <w:b/>
            <w:bCs/>
            <w:color w:val="0000FF"/>
            <w:sz w:val="24"/>
            <w:szCs w:val="24"/>
            <w:u w:val="single"/>
          </w:rPr>
          <w:t>CMS Updates Missing ICD-10 Codes for Osteopenia</w:t>
        </w:r>
      </w:hyperlink>
      <w:r w:rsidR="00270B4B" w:rsidRPr="007843F5">
        <w:rPr>
          <w:rFonts w:eastAsia="Times New Roman" w:cs="Times New Roman"/>
          <w:b/>
          <w:bCs/>
          <w:sz w:val="24"/>
          <w:szCs w:val="24"/>
        </w:rPr>
        <w:br/>
      </w:r>
      <w:r w:rsidR="00270B4B" w:rsidRPr="007843F5">
        <w:rPr>
          <w:rFonts w:eastAsia="Times New Roman" w:cs="Times New Roman"/>
          <w:b/>
          <w:bCs/>
          <w:sz w:val="24"/>
          <w:szCs w:val="24"/>
        </w:rPr>
        <w:br/>
      </w:r>
      <w:hyperlink r:id="rId13" w:history="1">
        <w:r w:rsidR="00270B4B" w:rsidRPr="007843F5">
          <w:rPr>
            <w:rFonts w:eastAsia="Times New Roman" w:cs="Times New Roman"/>
            <w:b/>
            <w:bCs/>
            <w:color w:val="0000FF"/>
            <w:sz w:val="24"/>
            <w:szCs w:val="24"/>
            <w:u w:val="single"/>
          </w:rPr>
          <w:t xml:space="preserve">ICD-10 Top 50 Codes - </w:t>
        </w:r>
        <w:proofErr w:type="spellStart"/>
        <w:r w:rsidR="00270B4B" w:rsidRPr="007843F5">
          <w:rPr>
            <w:rFonts w:eastAsia="Times New Roman" w:cs="Times New Roman"/>
            <w:b/>
            <w:bCs/>
            <w:color w:val="0000FF"/>
            <w:sz w:val="24"/>
            <w:szCs w:val="24"/>
            <w:u w:val="single"/>
          </w:rPr>
          <w:t>Orthopaedics</w:t>
        </w:r>
        <w:proofErr w:type="spellEnd"/>
        <w:r w:rsidR="00270B4B" w:rsidRPr="007843F5">
          <w:rPr>
            <w:rFonts w:eastAsia="Times New Roman" w:cs="Times New Roman"/>
            <w:b/>
            <w:bCs/>
            <w:color w:val="0000FF"/>
            <w:sz w:val="24"/>
            <w:szCs w:val="24"/>
            <w:u w:val="single"/>
          </w:rPr>
          <w:t xml:space="preserve"> Upper</w:t>
        </w:r>
      </w:hyperlink>
      <w:r w:rsidR="00270B4B" w:rsidRPr="007843F5">
        <w:rPr>
          <w:rFonts w:eastAsia="Times New Roman" w:cs="Times New Roman"/>
          <w:b/>
          <w:bCs/>
          <w:sz w:val="24"/>
          <w:szCs w:val="24"/>
        </w:rPr>
        <w:br/>
      </w:r>
      <w:r w:rsidR="00270B4B" w:rsidRPr="007843F5">
        <w:rPr>
          <w:rFonts w:eastAsia="Times New Roman" w:cs="Times New Roman"/>
          <w:b/>
          <w:bCs/>
          <w:sz w:val="24"/>
          <w:szCs w:val="24"/>
        </w:rPr>
        <w:br/>
      </w:r>
      <w:hyperlink r:id="rId14" w:history="1">
        <w:r w:rsidR="00270B4B" w:rsidRPr="007843F5">
          <w:rPr>
            <w:rFonts w:eastAsia="Times New Roman" w:cs="Times New Roman"/>
            <w:b/>
            <w:bCs/>
            <w:color w:val="0000FF"/>
            <w:sz w:val="24"/>
            <w:szCs w:val="24"/>
            <w:u w:val="single"/>
          </w:rPr>
          <w:t xml:space="preserve">ICD-10 Top 50 Codes - </w:t>
        </w:r>
        <w:proofErr w:type="spellStart"/>
        <w:r w:rsidR="00270B4B" w:rsidRPr="007843F5">
          <w:rPr>
            <w:rFonts w:eastAsia="Times New Roman" w:cs="Times New Roman"/>
            <w:b/>
            <w:bCs/>
            <w:color w:val="0000FF"/>
            <w:sz w:val="24"/>
            <w:szCs w:val="24"/>
            <w:u w:val="single"/>
          </w:rPr>
          <w:t>Orthopaedics</w:t>
        </w:r>
        <w:proofErr w:type="spellEnd"/>
        <w:r w:rsidR="00270B4B" w:rsidRPr="007843F5">
          <w:rPr>
            <w:rFonts w:eastAsia="Times New Roman" w:cs="Times New Roman"/>
            <w:b/>
            <w:bCs/>
            <w:color w:val="0000FF"/>
            <w:sz w:val="24"/>
            <w:szCs w:val="24"/>
            <w:u w:val="single"/>
          </w:rPr>
          <w:t xml:space="preserve"> Lower</w:t>
        </w:r>
      </w:hyperlink>
    </w:p>
    <w:p w:rsidR="00270B4B" w:rsidRPr="007843F5" w:rsidRDefault="009B6FD0" w:rsidP="00270B4B">
      <w:pPr>
        <w:tabs>
          <w:tab w:val="left" w:pos="990"/>
        </w:tabs>
        <w:spacing w:before="100" w:beforeAutospacing="1" w:after="100" w:afterAutospacing="1" w:line="240" w:lineRule="auto"/>
        <w:rPr>
          <w:rFonts w:eastAsia="Times New Roman" w:cs="Times New Roman"/>
          <w:sz w:val="24"/>
          <w:szCs w:val="24"/>
        </w:rPr>
      </w:pPr>
      <w:hyperlink r:id="rId15" w:history="1">
        <w:r w:rsidR="00270B4B" w:rsidRPr="007843F5">
          <w:rPr>
            <w:rFonts w:eastAsia="Times New Roman" w:cs="Times New Roman"/>
            <w:b/>
            <w:bCs/>
            <w:color w:val="0000FF"/>
            <w:sz w:val="24"/>
            <w:szCs w:val="24"/>
            <w:u w:val="single"/>
          </w:rPr>
          <w:t>CMS ICD-10 Infographic</w:t>
        </w:r>
      </w:hyperlink>
    </w:p>
    <w:p w:rsidR="00270B4B" w:rsidRPr="007843F5" w:rsidRDefault="009B6FD0" w:rsidP="00270B4B">
      <w:pPr>
        <w:tabs>
          <w:tab w:val="left" w:pos="990"/>
        </w:tabs>
        <w:spacing w:before="100" w:beforeAutospacing="1" w:after="100" w:afterAutospacing="1" w:line="240" w:lineRule="auto"/>
        <w:rPr>
          <w:rFonts w:eastAsia="Times New Roman" w:cs="Times New Roman"/>
          <w:sz w:val="24"/>
          <w:szCs w:val="24"/>
        </w:rPr>
      </w:pPr>
      <w:hyperlink r:id="rId16" w:history="1">
        <w:r w:rsidR="00270B4B" w:rsidRPr="007843F5">
          <w:rPr>
            <w:rFonts w:eastAsia="Times New Roman" w:cs="Times New Roman"/>
            <w:b/>
            <w:bCs/>
            <w:color w:val="0000FF"/>
            <w:sz w:val="24"/>
            <w:szCs w:val="24"/>
            <w:u w:val="single"/>
          </w:rPr>
          <w:t>Instructions - How to Use the Health Condition Category Examples</w:t>
        </w:r>
      </w:hyperlink>
    </w:p>
    <w:p w:rsidR="00270B4B" w:rsidRPr="007843F5" w:rsidRDefault="009B6FD0" w:rsidP="00270B4B">
      <w:pPr>
        <w:tabs>
          <w:tab w:val="left" w:pos="990"/>
        </w:tabs>
        <w:spacing w:before="100" w:beforeAutospacing="1" w:after="100" w:afterAutospacing="1" w:line="240" w:lineRule="auto"/>
        <w:rPr>
          <w:rFonts w:eastAsia="Times New Roman" w:cs="Times New Roman"/>
          <w:sz w:val="24"/>
          <w:szCs w:val="24"/>
        </w:rPr>
      </w:pPr>
      <w:hyperlink r:id="rId17" w:history="1">
        <w:r w:rsidR="00270B4B" w:rsidRPr="007843F5">
          <w:rPr>
            <w:rFonts w:eastAsia="Times New Roman" w:cs="Times New Roman"/>
            <w:b/>
            <w:bCs/>
            <w:color w:val="0000FF"/>
            <w:sz w:val="24"/>
            <w:szCs w:val="24"/>
            <w:u w:val="single"/>
          </w:rPr>
          <w:t>ICD-10 Flexibilities - Clarifying Questions and Answers</w:t>
        </w:r>
      </w:hyperlink>
    </w:p>
    <w:p w:rsidR="00270B4B" w:rsidRPr="007843F5" w:rsidRDefault="009B6FD0" w:rsidP="00270B4B">
      <w:pPr>
        <w:tabs>
          <w:tab w:val="left" w:pos="990"/>
        </w:tabs>
        <w:spacing w:before="100" w:beforeAutospacing="1" w:after="100" w:afterAutospacing="1" w:line="240" w:lineRule="auto"/>
        <w:rPr>
          <w:rFonts w:eastAsia="Times New Roman" w:cs="Times New Roman"/>
          <w:sz w:val="24"/>
          <w:szCs w:val="24"/>
        </w:rPr>
      </w:pPr>
      <w:hyperlink r:id="rId18" w:history="1">
        <w:r w:rsidR="00270B4B" w:rsidRPr="007843F5">
          <w:rPr>
            <w:rFonts w:eastAsia="Times New Roman" w:cs="Times New Roman"/>
            <w:b/>
            <w:bCs/>
            <w:color w:val="0000FF"/>
            <w:sz w:val="24"/>
            <w:szCs w:val="24"/>
            <w:u w:val="single"/>
          </w:rPr>
          <w:t>Interactive ICD-9 Conversion Tool and Quick Reference Chart</w:t>
        </w:r>
      </w:hyperlink>
    </w:p>
    <w:p w:rsidR="003652FD" w:rsidRPr="007843F5" w:rsidRDefault="003652FD">
      <w:pPr>
        <w:tabs>
          <w:tab w:val="left" w:pos="990"/>
        </w:tabs>
        <w:rPr>
          <w:sz w:val="24"/>
          <w:szCs w:val="24"/>
        </w:rPr>
      </w:pPr>
    </w:p>
    <w:sectPr w:rsidR="003652FD" w:rsidRPr="007843F5">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FD0" w:rsidRDefault="009B6FD0" w:rsidP="009B6FD0">
      <w:pPr>
        <w:spacing w:after="0" w:line="240" w:lineRule="auto"/>
      </w:pPr>
      <w:r>
        <w:separator/>
      </w:r>
    </w:p>
  </w:endnote>
  <w:endnote w:type="continuationSeparator" w:id="0">
    <w:p w:rsidR="009B6FD0" w:rsidRDefault="009B6FD0" w:rsidP="009B6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FD0" w:rsidRDefault="009B6FD0" w:rsidP="009B6FD0">
      <w:pPr>
        <w:spacing w:after="0" w:line="240" w:lineRule="auto"/>
      </w:pPr>
      <w:r>
        <w:separator/>
      </w:r>
    </w:p>
  </w:footnote>
  <w:footnote w:type="continuationSeparator" w:id="0">
    <w:p w:rsidR="009B6FD0" w:rsidRDefault="009B6FD0" w:rsidP="009B6F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FD0" w:rsidRDefault="009B6FD0" w:rsidP="009B6FD0">
    <w:pPr>
      <w:pStyle w:val="Header"/>
      <w:jc w:val="center"/>
    </w:pPr>
    <w:r>
      <w:rPr>
        <w:noProof/>
      </w:rPr>
      <w:drawing>
        <wp:inline distT="0" distB="0" distL="0" distR="0">
          <wp:extent cx="1114425" cy="1066492"/>
          <wp:effectExtent l="0" t="0" r="0" b="635"/>
          <wp:docPr id="2" name="Picture 2" descr="\\noffs-01\nof$\User\Andrea.Portillo\Pictures\NOF_Logo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ffs-01\nof$\User\Andrea.Portillo\Pictures\NOF_Logo_Blu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1066492"/>
                  </a:xfrm>
                  <a:prstGeom prst="rect">
                    <a:avLst/>
                  </a:prstGeom>
                  <a:noFill/>
                  <a:ln>
                    <a:noFill/>
                  </a:ln>
                </pic:spPr>
              </pic:pic>
            </a:graphicData>
          </a:graphic>
        </wp:inline>
      </w:drawing>
    </w:r>
  </w:p>
  <w:p w:rsidR="009B6FD0" w:rsidRDefault="009B6F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B4B"/>
    <w:rsid w:val="00270B4B"/>
    <w:rsid w:val="003652FD"/>
    <w:rsid w:val="007843F5"/>
    <w:rsid w:val="009B6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B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6F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6FD0"/>
    <w:rPr>
      <w:rFonts w:ascii="Tahoma" w:hAnsi="Tahoma" w:cs="Tahoma"/>
      <w:sz w:val="16"/>
      <w:szCs w:val="16"/>
    </w:rPr>
  </w:style>
  <w:style w:type="paragraph" w:styleId="Header">
    <w:name w:val="header"/>
    <w:basedOn w:val="Normal"/>
    <w:link w:val="HeaderChar"/>
    <w:uiPriority w:val="99"/>
    <w:unhideWhenUsed/>
    <w:rsid w:val="009B6F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6FD0"/>
  </w:style>
  <w:style w:type="paragraph" w:styleId="Footer">
    <w:name w:val="footer"/>
    <w:basedOn w:val="Normal"/>
    <w:link w:val="FooterChar"/>
    <w:uiPriority w:val="99"/>
    <w:unhideWhenUsed/>
    <w:rsid w:val="009B6F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6F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B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6F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6FD0"/>
    <w:rPr>
      <w:rFonts w:ascii="Tahoma" w:hAnsi="Tahoma" w:cs="Tahoma"/>
      <w:sz w:val="16"/>
      <w:szCs w:val="16"/>
    </w:rPr>
  </w:style>
  <w:style w:type="paragraph" w:styleId="Header">
    <w:name w:val="header"/>
    <w:basedOn w:val="Normal"/>
    <w:link w:val="HeaderChar"/>
    <w:uiPriority w:val="99"/>
    <w:unhideWhenUsed/>
    <w:rsid w:val="009B6F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6FD0"/>
  </w:style>
  <w:style w:type="paragraph" w:styleId="Footer">
    <w:name w:val="footer"/>
    <w:basedOn w:val="Normal"/>
    <w:link w:val="FooterChar"/>
    <w:uiPriority w:val="99"/>
    <w:unhideWhenUsed/>
    <w:rsid w:val="009B6F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6F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ms.gov/Outreach-and-Education/Outreach/FFSProvPartProg/Provider-Partnership-Email-Archive-Items/2015-09-17-eNews.html?DLPage=1&amp;DLEntries=10&amp;DLSort=0&amp;DLSortDir=descending&amp;image=y" TargetMode="External"/><Relationship Id="rId13" Type="http://schemas.openxmlformats.org/officeDocument/2006/relationships/hyperlink" Target="http://nof.org/files/nof/public/content/file/6963/upload/1324.pdf" TargetMode="External"/><Relationship Id="rId18" Type="http://schemas.openxmlformats.org/officeDocument/2006/relationships/hyperlink" Target="http://www.empr.com/icd-10/section/5324/?DCMP=ILC_MPRICD10-092915&amp;cpn=xiga&amp;hmSubId=965uS0KdpeA1&amp;hmEmail=QzDwdG7JW-YsC6FDrBT24bHyQK-UaGQT0&amp;NID=1669593364&amp;dl=0&amp;spMailingID=12533311&amp;spUserID=OTEzMTQ5OTAwNzQS1&amp;spJobID=622148081&amp;spReportId=NjIyMTQ4MDgxS0"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nof.org/files/nof/public/content/file/6290/upload/1303.pdf" TargetMode="External"/><Relationship Id="rId12" Type="http://schemas.openxmlformats.org/officeDocument/2006/relationships/hyperlink" Target="https://www.cms.gov/Outreach-and-Education/Medicare-Learning-Network-MLN/MLNMattersArticles/Downloads/SE1525.pdf" TargetMode="External"/><Relationship Id="rId17" Type="http://schemas.openxmlformats.org/officeDocument/2006/relationships/hyperlink" Target="http://nof.org/files/nof/public/content/file/6288/upload/1301.pdf" TargetMode="External"/><Relationship Id="rId2" Type="http://schemas.microsoft.com/office/2007/relationships/stylesWithEffects" Target="stylesWithEffects.xml"/><Relationship Id="rId16" Type="http://schemas.openxmlformats.org/officeDocument/2006/relationships/hyperlink" Target="http://nof.org/files/nof/public/content/file/6287/upload/1300.pdf"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nof.org/files/nof/public/content/file/6962/upload/1323.pdf" TargetMode="External"/><Relationship Id="rId5" Type="http://schemas.openxmlformats.org/officeDocument/2006/relationships/footnotes" Target="footnotes.xml"/><Relationship Id="rId15" Type="http://schemas.openxmlformats.org/officeDocument/2006/relationships/hyperlink" Target="http://nof.org/files/nof/public/content/file/6289/upload/1302.pdf" TargetMode="External"/><Relationship Id="rId10" Type="http://schemas.openxmlformats.org/officeDocument/2006/relationships/hyperlink" Target="https://video.search.yahoo.com/video/play;_ylt=A2KLqIP7wPpVbzgAXx0snIlQ;_ylu=X3oDMTByZWc0dGJtBHNlYwNzcgRzbGsDdmlkBHZ0aWQDBGdwb3MDMQ--?p=National+Bone+Health+Alliance+Youtube&amp;vid=6c46de46870a56d32c8d79185f3ab801&amp;turl=http%3A%2F%2Ftse3.mm.bing.net%2Fth%3Fid%3DWN.GkSCp054%252fz0BSsjHwc6UOA%26pid%3D15.1%26h%3D225%26w%3D300%26c%3D7%26rs%3D1&amp;rurl=https%3A%2F%2Fwww.youtube.com%2Fwatch%3Fv%3DyfSkLBJrx7g&amp;tit=How+Transitioning+to+the+ICD-10+Coding+System+will+Impact+Your+Osteoporosis+Practice&amp;c=0&amp;h=225&amp;w=300&amp;l=4228&amp;sigr=11btm4r83&amp;sigt=12k897nq1&amp;sigi=12net55sl&amp;age=1412186962&amp;fr2=p%3As%2Cv%3Av&amp;fr=yhs-mozilla-001&amp;hsimp=yhs-001&amp;hspart=mozilla&amp;tt=b"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youtube.com/watch?v=sqgrlKBKkOo" TargetMode="External"/><Relationship Id="rId14" Type="http://schemas.openxmlformats.org/officeDocument/2006/relationships/hyperlink" Target="http://nof.org/files/nof/public/content/file/6964/upload/1325.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53B657EC</Template>
  <TotalTime>1</TotalTime>
  <Pages>1</Pages>
  <Words>480</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Portillo</dc:creator>
  <cp:lastModifiedBy>Andrea Portillo</cp:lastModifiedBy>
  <cp:revision>3</cp:revision>
  <dcterms:created xsi:type="dcterms:W3CDTF">2016-02-23T20:46:00Z</dcterms:created>
  <dcterms:modified xsi:type="dcterms:W3CDTF">2016-04-25T15:31:00Z</dcterms:modified>
</cp:coreProperties>
</file>